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81F46" w14:paraId="597E2058" w14:textId="77777777" w:rsidTr="00DF5AE1">
        <w:tc>
          <w:tcPr>
            <w:tcW w:w="1615" w:type="dxa"/>
          </w:tcPr>
          <w:p w14:paraId="48711129" w14:textId="77777777" w:rsidR="00481F46" w:rsidRDefault="00481F46">
            <w:pPr>
              <w:rPr>
                <w:b/>
                <w:color w:val="24272A" w:themeColor="text1"/>
              </w:rPr>
            </w:pPr>
            <w:r w:rsidRPr="00481F46">
              <w:rPr>
                <w:b/>
                <w:color w:val="24272A" w:themeColor="text1"/>
              </w:rPr>
              <w:t>TO</w:t>
            </w:r>
          </w:p>
          <w:p w14:paraId="34AC2F42" w14:textId="77777777" w:rsidR="00481F46" w:rsidRPr="00481F46" w:rsidRDefault="00481F46">
            <w:pPr>
              <w:rPr>
                <w:b/>
                <w:color w:val="24272A" w:themeColor="text1"/>
              </w:rPr>
            </w:pPr>
          </w:p>
        </w:tc>
        <w:tc>
          <w:tcPr>
            <w:tcW w:w="7735" w:type="dxa"/>
          </w:tcPr>
          <w:p w14:paraId="4C9DB6E4" w14:textId="3E2BD9FC" w:rsidR="00481F46" w:rsidRPr="00A549EC" w:rsidRDefault="00A549EC">
            <w:pPr>
              <w:rPr>
                <w:color w:val="24272A" w:themeColor="text1"/>
              </w:rPr>
            </w:pPr>
            <w:r w:rsidRPr="00A549EC">
              <w:rPr>
                <w:rFonts w:ascii="Century Gothic" w:hAnsi="Century Gothic"/>
              </w:rPr>
              <w:t>&lt;Customer&gt;</w:t>
            </w:r>
          </w:p>
        </w:tc>
      </w:tr>
      <w:tr w:rsidR="00481F46" w14:paraId="55A754DD" w14:textId="77777777" w:rsidTr="00DF5AE1">
        <w:tc>
          <w:tcPr>
            <w:tcW w:w="1615" w:type="dxa"/>
          </w:tcPr>
          <w:p w14:paraId="56ABAFCD" w14:textId="77777777" w:rsidR="00481F46" w:rsidRDefault="00481F46">
            <w:pPr>
              <w:rPr>
                <w:b/>
                <w:color w:val="24272A" w:themeColor="text1"/>
              </w:rPr>
            </w:pPr>
            <w:r w:rsidRPr="00481F46">
              <w:rPr>
                <w:b/>
                <w:color w:val="24272A" w:themeColor="text1"/>
              </w:rPr>
              <w:t>FROM</w:t>
            </w:r>
          </w:p>
          <w:p w14:paraId="13843187" w14:textId="77777777" w:rsidR="00481F46" w:rsidRPr="00481F46" w:rsidRDefault="00481F46">
            <w:pPr>
              <w:rPr>
                <w:b/>
                <w:color w:val="24272A" w:themeColor="text1"/>
              </w:rPr>
            </w:pPr>
          </w:p>
        </w:tc>
        <w:tc>
          <w:tcPr>
            <w:tcW w:w="7735" w:type="dxa"/>
          </w:tcPr>
          <w:p w14:paraId="516CCAA7" w14:textId="18EF7404" w:rsidR="00481F46" w:rsidRPr="00A549EC" w:rsidRDefault="00A549EC">
            <w:pPr>
              <w:rPr>
                <w:color w:val="24272A" w:themeColor="text1"/>
              </w:rPr>
            </w:pPr>
            <w:r w:rsidRPr="00A549EC">
              <w:rPr>
                <w:rFonts w:ascii="Century Gothic" w:hAnsi="Century Gothic"/>
              </w:rPr>
              <w:t>&lt;Name, Title&gt;</w:t>
            </w:r>
          </w:p>
        </w:tc>
      </w:tr>
      <w:tr w:rsidR="00481F46" w14:paraId="72D2063B" w14:textId="77777777" w:rsidTr="00DF5AE1">
        <w:tc>
          <w:tcPr>
            <w:tcW w:w="1615" w:type="dxa"/>
          </w:tcPr>
          <w:p w14:paraId="0F6F8738" w14:textId="77777777" w:rsidR="00481F46" w:rsidRDefault="00481F46">
            <w:pPr>
              <w:rPr>
                <w:b/>
                <w:color w:val="24272A" w:themeColor="text1"/>
              </w:rPr>
            </w:pPr>
            <w:r w:rsidRPr="00481F46">
              <w:rPr>
                <w:b/>
                <w:color w:val="24272A" w:themeColor="text1"/>
              </w:rPr>
              <w:t>DATE</w:t>
            </w:r>
          </w:p>
          <w:p w14:paraId="44A31628" w14:textId="77777777" w:rsidR="00481F46" w:rsidRPr="00481F46" w:rsidRDefault="00481F46">
            <w:pPr>
              <w:rPr>
                <w:b/>
                <w:color w:val="24272A" w:themeColor="text1"/>
              </w:rPr>
            </w:pPr>
          </w:p>
        </w:tc>
        <w:tc>
          <w:tcPr>
            <w:tcW w:w="7735" w:type="dxa"/>
          </w:tcPr>
          <w:p w14:paraId="3F95D9D1" w14:textId="2C026A72" w:rsidR="00481F46" w:rsidRDefault="00A549EC">
            <w:pPr>
              <w:rPr>
                <w:color w:val="24272A" w:themeColor="text1"/>
              </w:rPr>
            </w:pPr>
            <w:r w:rsidRPr="00A549EC">
              <w:rPr>
                <w:rFonts w:ascii="Century Gothic" w:hAnsi="Century Gothic"/>
              </w:rPr>
              <w:t>&lt;</w:t>
            </w:r>
            <w:r>
              <w:rPr>
                <w:rFonts w:ascii="Century Gothic" w:hAnsi="Century Gothic"/>
              </w:rPr>
              <w:t>Date</w:t>
            </w:r>
            <w:r w:rsidRPr="00A549EC">
              <w:rPr>
                <w:rFonts w:ascii="Century Gothic" w:hAnsi="Century Gothic"/>
              </w:rPr>
              <w:t>&gt;</w:t>
            </w:r>
          </w:p>
        </w:tc>
      </w:tr>
      <w:tr w:rsidR="00481F46" w14:paraId="08BC7E6A" w14:textId="77777777" w:rsidTr="00DF5AE1">
        <w:tc>
          <w:tcPr>
            <w:tcW w:w="1615" w:type="dxa"/>
          </w:tcPr>
          <w:p w14:paraId="7E46076E" w14:textId="77777777" w:rsidR="00481F46" w:rsidRDefault="00481F46">
            <w:pPr>
              <w:rPr>
                <w:b/>
                <w:color w:val="24272A" w:themeColor="text1"/>
              </w:rPr>
            </w:pPr>
            <w:r w:rsidRPr="00481F46">
              <w:rPr>
                <w:b/>
                <w:color w:val="24272A" w:themeColor="text1"/>
              </w:rPr>
              <w:t>RE</w:t>
            </w:r>
          </w:p>
          <w:p w14:paraId="5F980CDB" w14:textId="77777777" w:rsidR="00481F46" w:rsidRPr="00481F46" w:rsidRDefault="00481F46">
            <w:pPr>
              <w:rPr>
                <w:b/>
                <w:color w:val="24272A" w:themeColor="text1"/>
              </w:rPr>
            </w:pPr>
          </w:p>
        </w:tc>
        <w:tc>
          <w:tcPr>
            <w:tcW w:w="7735" w:type="dxa"/>
          </w:tcPr>
          <w:p w14:paraId="67321E2C" w14:textId="0BBF9C54" w:rsidR="00481F46" w:rsidRPr="00A549EC" w:rsidRDefault="00A549EC">
            <w:pPr>
              <w:rPr>
                <w:color w:val="24272A" w:themeColor="text1"/>
              </w:rPr>
            </w:pPr>
            <w:r w:rsidRPr="00A549EC">
              <w:rPr>
                <w:rFonts w:ascii="Century Gothic" w:hAnsi="Century Gothic"/>
              </w:rPr>
              <w:t>HII Mission Technologies Division Reorganization</w:t>
            </w:r>
          </w:p>
        </w:tc>
      </w:tr>
    </w:tbl>
    <w:p w14:paraId="28BBF1CC" w14:textId="77777777" w:rsidR="00A549EC" w:rsidRDefault="00A549EC" w:rsidP="00A549EC">
      <w:pPr>
        <w:spacing w:after="0" w:line="240" w:lineRule="auto"/>
        <w:ind w:left="90"/>
        <w:contextualSpacing/>
        <w:rPr>
          <w:rFonts w:ascii="Century Gothic" w:hAnsi="Century Gothic"/>
          <w:sz w:val="20"/>
          <w:szCs w:val="20"/>
        </w:rPr>
      </w:pPr>
    </w:p>
    <w:p w14:paraId="79409B50" w14:textId="0B3C70B1" w:rsidR="00A549EC" w:rsidRDefault="00A549EC" w:rsidP="00A549EC">
      <w:pPr>
        <w:spacing w:after="0" w:line="240" w:lineRule="auto"/>
        <w:ind w:left="90"/>
        <w:contextualSpacing/>
        <w:rPr>
          <w:rFonts w:ascii="Century Gothic" w:hAnsi="Century Gothic"/>
          <w:sz w:val="20"/>
          <w:szCs w:val="20"/>
        </w:rPr>
      </w:pPr>
      <w:r w:rsidRPr="00222E0E">
        <w:rPr>
          <w:rFonts w:ascii="Century Gothic" w:hAnsi="Century Gothic"/>
          <w:sz w:val="20"/>
          <w:szCs w:val="20"/>
        </w:rPr>
        <w:t xml:space="preserve">HII announced today that its Mission Technologies division will consolidate its six operational groups into four. The changes are designed to optimize the </w:t>
      </w:r>
      <w:r>
        <w:rPr>
          <w:rFonts w:ascii="Century Gothic" w:hAnsi="Century Gothic"/>
          <w:sz w:val="20"/>
          <w:szCs w:val="20"/>
        </w:rPr>
        <w:t xml:space="preserve">division </w:t>
      </w:r>
      <w:r w:rsidRPr="00222E0E">
        <w:rPr>
          <w:rFonts w:ascii="Century Gothic" w:hAnsi="Century Gothic"/>
          <w:sz w:val="20"/>
          <w:szCs w:val="20"/>
        </w:rPr>
        <w:t xml:space="preserve">for </w:t>
      </w:r>
      <w:r>
        <w:rPr>
          <w:rFonts w:ascii="Century Gothic" w:hAnsi="Century Gothic"/>
          <w:sz w:val="20"/>
          <w:szCs w:val="20"/>
        </w:rPr>
        <w:t xml:space="preserve">continued </w:t>
      </w:r>
      <w:r w:rsidRPr="00222E0E">
        <w:rPr>
          <w:rFonts w:ascii="Century Gothic" w:hAnsi="Century Gothic"/>
          <w:sz w:val="20"/>
          <w:szCs w:val="20"/>
        </w:rPr>
        <w:t>long-term growth.</w:t>
      </w:r>
    </w:p>
    <w:p w14:paraId="3E9340A7" w14:textId="77777777" w:rsidR="00A549EC" w:rsidRDefault="00A549EC" w:rsidP="00A549EC">
      <w:pPr>
        <w:spacing w:after="0" w:line="240" w:lineRule="auto"/>
        <w:ind w:left="90"/>
        <w:contextualSpacing/>
        <w:rPr>
          <w:rFonts w:ascii="Century Gothic" w:hAnsi="Century Gothic"/>
          <w:sz w:val="20"/>
          <w:szCs w:val="20"/>
        </w:rPr>
      </w:pPr>
    </w:p>
    <w:p w14:paraId="3224126C" w14:textId="77777777" w:rsidR="00A549EC" w:rsidRPr="00A74E8E" w:rsidRDefault="00A549EC" w:rsidP="00A549EC">
      <w:pPr>
        <w:spacing w:after="0" w:line="240" w:lineRule="auto"/>
        <w:ind w:left="9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Effective Monday, Oct. 28, the division will reorganize into the following groups:</w:t>
      </w:r>
    </w:p>
    <w:p w14:paraId="2CE38537" w14:textId="77777777" w:rsidR="00A549EC" w:rsidRPr="00A74E8E" w:rsidRDefault="00A549EC" w:rsidP="00A549EC">
      <w:pPr>
        <w:spacing w:after="0" w:line="240" w:lineRule="auto"/>
        <w:ind w:left="450"/>
        <w:contextualSpacing/>
        <w:rPr>
          <w:rFonts w:ascii="Century Gothic" w:hAnsi="Century Gothic"/>
          <w:sz w:val="20"/>
          <w:szCs w:val="20"/>
        </w:rPr>
      </w:pPr>
    </w:p>
    <w:p w14:paraId="1F851CC2" w14:textId="77777777" w:rsidR="00A549EC" w:rsidRPr="00A549EC" w:rsidRDefault="00A549EC" w:rsidP="00A549EC">
      <w:pPr>
        <w:pStyle w:val="ListParagraph"/>
        <w:numPr>
          <w:ilvl w:val="0"/>
          <w:numId w:val="1"/>
        </w:numPr>
        <w:ind w:left="450"/>
        <w:rPr>
          <w:rFonts w:ascii="Century Gothic" w:hAnsi="Century Gothic"/>
          <w:b/>
          <w:bCs/>
          <w:sz w:val="20"/>
          <w:szCs w:val="20"/>
        </w:rPr>
      </w:pPr>
      <w:r w:rsidRPr="00A549EC">
        <w:rPr>
          <w:rFonts w:ascii="Century Gothic" w:hAnsi="Century Gothic"/>
          <w:b/>
          <w:bCs/>
          <w:sz w:val="20"/>
          <w:szCs w:val="20"/>
        </w:rPr>
        <w:t>All-Domain Operations</w:t>
      </w:r>
      <w:r w:rsidRPr="00A549EC">
        <w:rPr>
          <w:rFonts w:ascii="Century Gothic" w:hAnsi="Century Gothic"/>
          <w:sz w:val="20"/>
          <w:szCs w:val="20"/>
        </w:rPr>
        <w:t>, led by Todd Gentry, comprises C5ISR operations; platforms and logistics support; and intelligence analysis.</w:t>
      </w:r>
    </w:p>
    <w:p w14:paraId="01628806" w14:textId="48969199" w:rsidR="00A549EC" w:rsidRPr="00385DF7" w:rsidRDefault="00A549EC" w:rsidP="00A549EC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Century Gothic" w:hAnsi="Century Gothic"/>
          <w:sz w:val="20"/>
          <w:szCs w:val="20"/>
        </w:rPr>
      </w:pPr>
      <w:r w:rsidRPr="00385DF7">
        <w:rPr>
          <w:rFonts w:ascii="Century Gothic" w:hAnsi="Century Gothic"/>
          <w:b/>
          <w:bCs/>
          <w:sz w:val="20"/>
          <w:szCs w:val="20"/>
        </w:rPr>
        <w:t>Global Security</w:t>
      </w:r>
      <w:r w:rsidRPr="00385DF7">
        <w:rPr>
          <w:rFonts w:ascii="Century Gothic" w:hAnsi="Century Gothic"/>
          <w:sz w:val="20"/>
          <w:szCs w:val="20"/>
        </w:rPr>
        <w:t xml:space="preserve">, led by Michael Lempke, comprises live, virtual, constructive </w:t>
      </w:r>
      <w:r>
        <w:rPr>
          <w:rFonts w:ascii="Century Gothic" w:hAnsi="Century Gothic"/>
          <w:sz w:val="20"/>
          <w:szCs w:val="20"/>
        </w:rPr>
        <w:t>(LVC) solutions</w:t>
      </w:r>
      <w:r w:rsidRPr="00385DF7">
        <w:rPr>
          <w:rFonts w:ascii="Century Gothic" w:hAnsi="Century Gothic"/>
          <w:sz w:val="20"/>
          <w:szCs w:val="20"/>
        </w:rPr>
        <w:t>; fleet sustainment; nuclear</w:t>
      </w:r>
      <w:r w:rsidR="00040722">
        <w:rPr>
          <w:rFonts w:ascii="Century Gothic" w:hAnsi="Century Gothic"/>
          <w:sz w:val="20"/>
          <w:szCs w:val="20"/>
        </w:rPr>
        <w:t xml:space="preserve"> and environmental</w:t>
      </w:r>
      <w:r w:rsidRPr="00385DF7"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hAnsi="Century Gothic"/>
          <w:sz w:val="20"/>
          <w:szCs w:val="20"/>
        </w:rPr>
        <w:t>and Australia business</w:t>
      </w:r>
      <w:r w:rsidRPr="00385DF7">
        <w:rPr>
          <w:rFonts w:ascii="Century Gothic" w:hAnsi="Century Gothic"/>
          <w:sz w:val="20"/>
          <w:szCs w:val="20"/>
        </w:rPr>
        <w:t>.</w:t>
      </w:r>
    </w:p>
    <w:p w14:paraId="3C08FD76" w14:textId="77777777" w:rsidR="00A549EC" w:rsidRPr="00385DF7" w:rsidRDefault="00A549EC" w:rsidP="00A549EC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Century Gothic" w:hAnsi="Century Gothic"/>
          <w:sz w:val="20"/>
          <w:szCs w:val="20"/>
        </w:rPr>
      </w:pPr>
      <w:r w:rsidRPr="00385DF7">
        <w:rPr>
          <w:rFonts w:ascii="Century Gothic" w:hAnsi="Century Gothic"/>
          <w:b/>
          <w:bCs/>
          <w:sz w:val="20"/>
          <w:szCs w:val="20"/>
        </w:rPr>
        <w:t>Warfare Systems</w:t>
      </w:r>
      <w:r w:rsidRPr="00385DF7">
        <w:rPr>
          <w:rFonts w:ascii="Century Gothic" w:hAnsi="Century Gothic"/>
          <w:sz w:val="20"/>
          <w:szCs w:val="20"/>
        </w:rPr>
        <w:t>, led by Grant Hagen, comprises cyber and mission IT; electronic warfare; and C5ISR systems.</w:t>
      </w:r>
    </w:p>
    <w:p w14:paraId="3FF062F2" w14:textId="77777777" w:rsidR="00A549EC" w:rsidRPr="00385DF7" w:rsidRDefault="00A549EC" w:rsidP="00A549EC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Century Gothic" w:hAnsi="Century Gothic"/>
          <w:sz w:val="20"/>
          <w:szCs w:val="20"/>
        </w:rPr>
      </w:pPr>
      <w:r w:rsidRPr="00385DF7">
        <w:rPr>
          <w:rFonts w:ascii="Century Gothic" w:hAnsi="Century Gothic"/>
          <w:b/>
          <w:bCs/>
          <w:sz w:val="20"/>
          <w:szCs w:val="20"/>
        </w:rPr>
        <w:t>Uncrewed Systems</w:t>
      </w:r>
      <w:r w:rsidRPr="00385DF7">
        <w:rPr>
          <w:rFonts w:ascii="Century Gothic" w:hAnsi="Century Gothic"/>
          <w:sz w:val="20"/>
          <w:szCs w:val="20"/>
        </w:rPr>
        <w:t>, led by Duane Fotheringham, comprises unmanned underwater vehicles (UUVs), unmanned surface vehicles (USVs) and autonomy software.</w:t>
      </w:r>
    </w:p>
    <w:p w14:paraId="0410C35F" w14:textId="77777777" w:rsidR="00A549EC" w:rsidRDefault="00A549EC" w:rsidP="00A549EC">
      <w:pPr>
        <w:spacing w:after="0" w:line="240" w:lineRule="auto"/>
        <w:ind w:left="450"/>
        <w:rPr>
          <w:rFonts w:ascii="Century Gothic" w:hAnsi="Century Gothic"/>
          <w:sz w:val="20"/>
          <w:szCs w:val="20"/>
        </w:rPr>
      </w:pPr>
    </w:p>
    <w:p w14:paraId="1223C4BE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Mission Technologies will also a</w:t>
      </w:r>
      <w:r w:rsidRPr="00984E62">
        <w:rPr>
          <w:rFonts w:ascii="Century Gothic" w:hAnsi="Century Gothic"/>
          <w:sz w:val="20"/>
          <w:szCs w:val="20"/>
        </w:rPr>
        <w:t>lign the four groups to a common operating model with specialized roles:</w:t>
      </w:r>
      <w:r>
        <w:rPr>
          <w:rFonts w:ascii="Century Gothic" w:hAnsi="Century Gothic"/>
          <w:sz w:val="20"/>
          <w:szCs w:val="20"/>
        </w:rPr>
        <w:t xml:space="preserve"> </w:t>
      </w:r>
      <w:r w:rsidRPr="00984E62">
        <w:rPr>
          <w:rFonts w:ascii="Century Gothic" w:hAnsi="Century Gothic"/>
          <w:sz w:val="20"/>
          <w:szCs w:val="20"/>
        </w:rPr>
        <w:t>operations leader</w:t>
      </w:r>
      <w:r>
        <w:rPr>
          <w:rFonts w:ascii="Century Gothic" w:hAnsi="Century Gothic"/>
          <w:sz w:val="20"/>
          <w:szCs w:val="20"/>
        </w:rPr>
        <w:t xml:space="preserve">, </w:t>
      </w:r>
      <w:r w:rsidRPr="00984E62">
        <w:rPr>
          <w:rFonts w:ascii="Century Gothic" w:hAnsi="Century Gothic"/>
          <w:sz w:val="20"/>
          <w:szCs w:val="20"/>
        </w:rPr>
        <w:t>growth leader</w:t>
      </w:r>
      <w:r>
        <w:rPr>
          <w:rFonts w:ascii="Century Gothic" w:hAnsi="Century Gothic"/>
          <w:sz w:val="20"/>
          <w:szCs w:val="20"/>
        </w:rPr>
        <w:t xml:space="preserve">, </w:t>
      </w:r>
      <w:r w:rsidRPr="00984E62">
        <w:rPr>
          <w:rFonts w:ascii="Century Gothic" w:hAnsi="Century Gothic"/>
          <w:sz w:val="20"/>
          <w:szCs w:val="20"/>
        </w:rPr>
        <w:t>portfolio leader(s)</w:t>
      </w:r>
      <w:r>
        <w:rPr>
          <w:rFonts w:ascii="Century Gothic" w:hAnsi="Century Gothic"/>
          <w:sz w:val="20"/>
          <w:szCs w:val="20"/>
        </w:rPr>
        <w:t xml:space="preserve"> and </w:t>
      </w:r>
      <w:r w:rsidRPr="00984E62">
        <w:rPr>
          <w:rFonts w:ascii="Century Gothic" w:hAnsi="Century Gothic"/>
          <w:sz w:val="20"/>
          <w:szCs w:val="20"/>
        </w:rPr>
        <w:t>quality leader</w:t>
      </w:r>
      <w:r>
        <w:rPr>
          <w:rFonts w:ascii="Century Gothic" w:hAnsi="Century Gothic"/>
          <w:sz w:val="20"/>
          <w:szCs w:val="20"/>
        </w:rPr>
        <w:t>.</w:t>
      </w:r>
    </w:p>
    <w:p w14:paraId="013F6D77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</w:p>
    <w:p w14:paraId="795729CC" w14:textId="77777777" w:rsidR="00A549EC" w:rsidRPr="001E1B7A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are confident these changes </w:t>
      </w:r>
      <w:r w:rsidRPr="001E1B7A">
        <w:rPr>
          <w:rFonts w:ascii="Century Gothic" w:hAnsi="Century Gothic"/>
          <w:sz w:val="20"/>
          <w:szCs w:val="20"/>
        </w:rPr>
        <w:t>will make us even more competitive, improve the quality of our services for our customers, and ensure the long-term health of our business.</w:t>
      </w:r>
    </w:p>
    <w:p w14:paraId="1FEB6076" w14:textId="77777777" w:rsidR="00A549EC" w:rsidRDefault="00A549EC" w:rsidP="00A549EC">
      <w:pPr>
        <w:spacing w:after="0" w:line="240" w:lineRule="auto"/>
        <w:ind w:left="90"/>
        <w:contextualSpacing/>
        <w:rPr>
          <w:rFonts w:ascii="Century Gothic" w:hAnsi="Century Gothic"/>
          <w:sz w:val="20"/>
          <w:szCs w:val="20"/>
        </w:rPr>
      </w:pPr>
    </w:p>
    <w:p w14:paraId="23E05CB8" w14:textId="77777777" w:rsidR="00A549EC" w:rsidRPr="00AE4147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 w:rsidRPr="00AE4147">
        <w:rPr>
          <w:rFonts w:ascii="Century Gothic" w:hAnsi="Century Gothic"/>
          <w:sz w:val="20"/>
          <w:szCs w:val="20"/>
        </w:rPr>
        <w:t xml:space="preserve">Why are we changing? Because what got us to where we are today won't get us to where </w:t>
      </w:r>
      <w:r>
        <w:rPr>
          <w:rFonts w:ascii="Century Gothic" w:hAnsi="Century Gothic"/>
          <w:sz w:val="20"/>
          <w:szCs w:val="20"/>
        </w:rPr>
        <w:t>we</w:t>
      </w:r>
      <w:r w:rsidRPr="00AE4147">
        <w:rPr>
          <w:rFonts w:ascii="Century Gothic" w:hAnsi="Century Gothic"/>
          <w:sz w:val="20"/>
          <w:szCs w:val="20"/>
        </w:rPr>
        <w:t xml:space="preserve"> want</w:t>
      </w:r>
      <w:r>
        <w:rPr>
          <w:rFonts w:ascii="Century Gothic" w:hAnsi="Century Gothic"/>
          <w:sz w:val="20"/>
          <w:szCs w:val="20"/>
        </w:rPr>
        <w:t xml:space="preserve"> </w:t>
      </w:r>
      <w:r w:rsidRPr="00AE4147">
        <w:rPr>
          <w:rFonts w:ascii="Century Gothic" w:hAnsi="Century Gothic"/>
          <w:sz w:val="20"/>
          <w:szCs w:val="20"/>
        </w:rPr>
        <w:t>to be</w:t>
      </w:r>
      <w:r>
        <w:rPr>
          <w:rFonts w:ascii="Century Gothic" w:hAnsi="Century Gothic"/>
          <w:sz w:val="20"/>
          <w:szCs w:val="20"/>
        </w:rPr>
        <w:t xml:space="preserve">. </w:t>
      </w:r>
      <w:r w:rsidRPr="00AE4147">
        <w:rPr>
          <w:rFonts w:ascii="Century Gothic" w:hAnsi="Century Gothic"/>
          <w:sz w:val="20"/>
          <w:szCs w:val="20"/>
        </w:rPr>
        <w:t xml:space="preserve">Mission Technologies </w:t>
      </w:r>
      <w:r>
        <w:rPr>
          <w:rFonts w:ascii="Century Gothic" w:hAnsi="Century Gothic"/>
          <w:sz w:val="20"/>
          <w:szCs w:val="20"/>
        </w:rPr>
        <w:t xml:space="preserve">must adapt to continue being </w:t>
      </w:r>
      <w:r w:rsidRPr="00AE4147">
        <w:rPr>
          <w:rFonts w:ascii="Century Gothic" w:hAnsi="Century Gothic"/>
          <w:sz w:val="20"/>
          <w:szCs w:val="20"/>
        </w:rPr>
        <w:t>the growth engine for HII.</w:t>
      </w:r>
    </w:p>
    <w:p w14:paraId="7151CE1D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</w:p>
    <w:p w14:paraId="6A5D357B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Ensuring customer satisfaction is our highest priority, and we are dedicated to facilitating a smooth transition with as little disruption as possible to current contracts and ongoing operations.</w:t>
      </w:r>
    </w:p>
    <w:p w14:paraId="14D98EC5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</w:p>
    <w:p w14:paraId="7946E24C" w14:textId="23CA2B20" w:rsidR="00A549EC" w:rsidRPr="00190A7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 w:rsidRPr="00190A7C">
        <w:rPr>
          <w:rFonts w:ascii="Century Gothic" w:hAnsi="Century Gothic"/>
          <w:sz w:val="20"/>
          <w:szCs w:val="20"/>
        </w:rPr>
        <w:t>For more information, read HII’s news release at [</w:t>
      </w:r>
      <w:r w:rsidRPr="00A549EC">
        <w:rPr>
          <w:rFonts w:ascii="Century Gothic" w:hAnsi="Century Gothic"/>
          <w:sz w:val="20"/>
          <w:szCs w:val="20"/>
          <w:highlight w:val="yellow"/>
        </w:rPr>
        <w:t>insert 10/25 news release link</w:t>
      </w:r>
      <w:r w:rsidRPr="00190A7C">
        <w:rPr>
          <w:rFonts w:ascii="Century Gothic" w:hAnsi="Century Gothic"/>
          <w:sz w:val="20"/>
          <w:szCs w:val="20"/>
        </w:rPr>
        <w:t>].</w:t>
      </w:r>
    </w:p>
    <w:p w14:paraId="2F64696F" w14:textId="77777777" w:rsidR="00A549EC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</w:p>
    <w:p w14:paraId="3A2D897D" w14:textId="77777777" w:rsidR="00A549EC" w:rsidRPr="00A74E8E" w:rsidRDefault="00A549EC" w:rsidP="00A549EC">
      <w:pPr>
        <w:spacing w:after="0" w:line="240" w:lineRule="auto"/>
        <w:ind w:left="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you have any questions or concerns, please reach out to us at [</w:t>
      </w:r>
      <w:r w:rsidRPr="00BA6D43">
        <w:rPr>
          <w:rFonts w:ascii="Century Gothic" w:hAnsi="Century Gothic"/>
          <w:sz w:val="20"/>
          <w:szCs w:val="20"/>
          <w:highlight w:val="yellow"/>
        </w:rPr>
        <w:t>insert contact info</w:t>
      </w:r>
      <w:r>
        <w:rPr>
          <w:rFonts w:ascii="Century Gothic" w:hAnsi="Century Gothic"/>
          <w:sz w:val="20"/>
          <w:szCs w:val="20"/>
        </w:rPr>
        <w:t>].</w:t>
      </w:r>
    </w:p>
    <w:p w14:paraId="47B975BD" w14:textId="77777777" w:rsidR="00A549EC" w:rsidRPr="00A74E8E" w:rsidRDefault="00A549EC" w:rsidP="00A549EC">
      <w:pPr>
        <w:spacing w:after="0" w:line="240" w:lineRule="auto"/>
        <w:ind w:left="450"/>
        <w:contextualSpacing/>
        <w:rPr>
          <w:rFonts w:ascii="Century Gothic" w:hAnsi="Century Gothic"/>
          <w:sz w:val="20"/>
          <w:szCs w:val="20"/>
        </w:rPr>
      </w:pPr>
    </w:p>
    <w:p w14:paraId="0ADF29FF" w14:textId="16A90655" w:rsidR="00DF5AE1" w:rsidRDefault="00DF5AE1" w:rsidP="00DF5AE1">
      <w:pPr>
        <w:rPr>
          <w:color w:val="24272A" w:themeColor="text1"/>
        </w:rPr>
      </w:pPr>
    </w:p>
    <w:p w14:paraId="2E5AD02A" w14:textId="77777777" w:rsidR="00DF5AE1" w:rsidRPr="00DF5AE1" w:rsidRDefault="00DF5AE1" w:rsidP="00DF5AE1">
      <w:pPr>
        <w:rPr>
          <w:color w:val="24272A" w:themeColor="text1"/>
        </w:rPr>
      </w:pPr>
    </w:p>
    <w:sectPr w:rsidR="00DF5AE1" w:rsidRPr="00DF5AE1" w:rsidSect="00C568E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486C" w14:textId="77777777" w:rsidR="00772DB6" w:rsidRDefault="00772DB6" w:rsidP="00F76777">
      <w:pPr>
        <w:spacing w:after="0" w:line="240" w:lineRule="auto"/>
      </w:pPr>
      <w:r>
        <w:separator/>
      </w:r>
    </w:p>
  </w:endnote>
  <w:endnote w:type="continuationSeparator" w:id="0">
    <w:p w14:paraId="792F65DF" w14:textId="77777777" w:rsidR="00772DB6" w:rsidRDefault="00772DB6" w:rsidP="00F7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BD88" w14:textId="0115EF0A" w:rsidR="00DF5AE1" w:rsidRPr="00C568E6" w:rsidRDefault="00A549EC" w:rsidP="00B42F09">
    <w:pPr>
      <w:pStyle w:val="Footer"/>
      <w:jc w:val="center"/>
      <w:rPr>
        <w:b/>
        <w:color w:val="BFBFBF" w:themeColor="background1" w:themeShade="BF"/>
        <w:sz w:val="20"/>
      </w:rPr>
    </w:pPr>
    <w:r w:rsidRPr="005F014A">
      <w:rPr>
        <w:rFonts w:ascii="Century Gothic" w:hAnsi="Century Gothic"/>
        <w:b/>
        <w:bCs/>
        <w:color w:val="003B4D"/>
      </w:rPr>
      <w:t>MISSION TECHNOLOGIES</w:t>
    </w:r>
    <w:r w:rsidRPr="005F014A">
      <w:rPr>
        <w:rFonts w:ascii="Century Gothic" w:hAnsi="Century Gothic"/>
        <w:color w:val="003B4D"/>
      </w:rPr>
      <w:t xml:space="preserve"> </w:t>
    </w:r>
    <w:r w:rsidRPr="005F014A">
      <w:rPr>
        <w:rFonts w:ascii="Century Gothic" w:hAnsi="Century Gothic" w:cs="Calibri"/>
        <w:color w:val="003B4D"/>
      </w:rPr>
      <w:t>│</w:t>
    </w:r>
    <w:r w:rsidRPr="005F014A">
      <w:rPr>
        <w:rFonts w:ascii="Century Gothic" w:hAnsi="Century Gothic"/>
        <w:color w:val="003B4D"/>
      </w:rPr>
      <w:t xml:space="preserve"> A DIVISION OF HII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4725" w14:textId="77777777" w:rsidR="00772DB6" w:rsidRDefault="00772DB6" w:rsidP="00F76777">
      <w:pPr>
        <w:spacing w:after="0" w:line="240" w:lineRule="auto"/>
      </w:pPr>
      <w:r>
        <w:separator/>
      </w:r>
    </w:p>
  </w:footnote>
  <w:footnote w:type="continuationSeparator" w:id="0">
    <w:p w14:paraId="5119886A" w14:textId="77777777" w:rsidR="00772DB6" w:rsidRDefault="00772DB6" w:rsidP="00F7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155"/>
    </w:tblGrid>
    <w:tr w:rsidR="00C568E6" w:rsidRPr="00481F46" w14:paraId="06647109" w14:textId="77777777" w:rsidTr="007C46A0">
      <w:tc>
        <w:tcPr>
          <w:tcW w:w="7195" w:type="dxa"/>
          <w:vAlign w:val="bottom"/>
        </w:tcPr>
        <w:p w14:paraId="4758FF09" w14:textId="77777777" w:rsidR="00C568E6" w:rsidRDefault="00C568E6" w:rsidP="00C568E6">
          <w:pPr>
            <w:pStyle w:val="Header"/>
          </w:pPr>
          <w:r w:rsidRPr="00481F46">
            <w:rPr>
              <w:b/>
              <w:color w:val="24272A" w:themeColor="text1"/>
              <w:sz w:val="72"/>
              <w:szCs w:val="72"/>
            </w:rPr>
            <w:t>MEMO</w:t>
          </w:r>
        </w:p>
      </w:tc>
      <w:tc>
        <w:tcPr>
          <w:tcW w:w="2155" w:type="dxa"/>
          <w:vAlign w:val="center"/>
        </w:tcPr>
        <w:p w14:paraId="3C3CDFDA" w14:textId="77777777" w:rsidR="00C568E6" w:rsidRPr="00481F46" w:rsidRDefault="00C568E6" w:rsidP="00C568E6">
          <w:pPr>
            <w:pStyle w:val="Header"/>
            <w:jc w:val="right"/>
            <w:rPr>
              <w:b/>
              <w:color w:val="24272A" w:themeColor="text1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3AAF6DE5" wp14:editId="7717ABE7">
                <wp:extent cx="914400" cy="914400"/>
                <wp:effectExtent l="0" t="0" r="0" b="0"/>
                <wp:docPr id="2" name="Picture 2" descr="C:\Users\AQC00\AppData\Local\Microsoft\Windows\INetCache\Content.Word\HII_Logo_2023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QC00\AppData\Local\Microsoft\Windows\INetCache\Content.Word\HII_Logo_2023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511AA5" w14:textId="77777777" w:rsidR="00DF5AE1" w:rsidRDefault="00DF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3D6C"/>
    <w:multiLevelType w:val="hybridMultilevel"/>
    <w:tmpl w:val="2916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CB"/>
    <w:rsid w:val="00040722"/>
    <w:rsid w:val="00072D29"/>
    <w:rsid w:val="000B35B9"/>
    <w:rsid w:val="001341CB"/>
    <w:rsid w:val="00423E48"/>
    <w:rsid w:val="00481F46"/>
    <w:rsid w:val="004824CC"/>
    <w:rsid w:val="004B36CC"/>
    <w:rsid w:val="005166FE"/>
    <w:rsid w:val="00772DB6"/>
    <w:rsid w:val="0096425F"/>
    <w:rsid w:val="00A549EC"/>
    <w:rsid w:val="00A859F9"/>
    <w:rsid w:val="00B42F09"/>
    <w:rsid w:val="00BE6C56"/>
    <w:rsid w:val="00C568E6"/>
    <w:rsid w:val="00CF0899"/>
    <w:rsid w:val="00DF5AE1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2E5D"/>
  <w15:chartTrackingRefBased/>
  <w15:docId w15:val="{FB4F4989-B4C0-4F9A-A2C4-2A1F6F4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4272A" w:themeColor="text1"/>
      <w:sz w:val="5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4C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5B6670" w:themeColor="accen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77"/>
  </w:style>
  <w:style w:type="paragraph" w:styleId="Footer">
    <w:name w:val="footer"/>
    <w:basedOn w:val="Normal"/>
    <w:link w:val="FooterChar"/>
    <w:uiPriority w:val="99"/>
    <w:unhideWhenUsed/>
    <w:rsid w:val="00F7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77"/>
  </w:style>
  <w:style w:type="table" w:styleId="TableGrid">
    <w:name w:val="Table Grid"/>
    <w:basedOn w:val="TableNormal"/>
    <w:uiPriority w:val="39"/>
    <w:rsid w:val="00BE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24CC"/>
    <w:rPr>
      <w:rFonts w:asciiTheme="majorHAnsi" w:eastAsiaTheme="majorEastAsia" w:hAnsiTheme="majorHAnsi" w:cstheme="majorBidi"/>
      <w:b/>
      <w:color w:val="24272A" w:themeColor="text1"/>
      <w:sz w:val="5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24C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5B6670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4CC"/>
    <w:rPr>
      <w:rFonts w:asciiTheme="majorHAnsi" w:eastAsiaTheme="majorEastAsia" w:hAnsiTheme="majorHAnsi" w:cstheme="majorBidi"/>
      <w:b/>
      <w:color w:val="5B6670" w:themeColor="accent1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824CC"/>
    <w:rPr>
      <w:rFonts w:asciiTheme="majorHAnsi" w:eastAsiaTheme="majorEastAsia" w:hAnsiTheme="majorHAnsi" w:cstheme="majorBidi"/>
      <w:b/>
      <w:color w:val="5B6670" w:themeColor="accent1"/>
      <w:sz w:val="32"/>
      <w:szCs w:val="24"/>
    </w:rPr>
  </w:style>
  <w:style w:type="paragraph" w:styleId="ListParagraph">
    <w:name w:val="List Paragraph"/>
    <w:basedOn w:val="Normal"/>
    <w:uiPriority w:val="34"/>
    <w:qFormat/>
    <w:rsid w:val="00A549E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pje\Downloads\SHAPE%202030_Final\HII_MEMO_template_2023.dotx" TargetMode="External"/></Relationships>
</file>

<file path=word/theme/theme1.xml><?xml version="1.0" encoding="utf-8"?>
<a:theme xmlns:a="http://schemas.openxmlformats.org/drawingml/2006/main" name="Office Theme">
  <a:themeElements>
    <a:clrScheme name="HII New">
      <a:dk1>
        <a:srgbClr val="24272A"/>
      </a:dk1>
      <a:lt1>
        <a:srgbClr val="FFFFFF"/>
      </a:lt1>
      <a:dk2>
        <a:srgbClr val="003B4D"/>
      </a:dk2>
      <a:lt2>
        <a:srgbClr val="E7E6E6"/>
      </a:lt2>
      <a:accent1>
        <a:srgbClr val="5B6670"/>
      </a:accent1>
      <a:accent2>
        <a:srgbClr val="75ABD1"/>
      </a:accent2>
      <a:accent3>
        <a:srgbClr val="3D6785"/>
      </a:accent3>
      <a:accent4>
        <a:srgbClr val="D18B8A"/>
      </a:accent4>
      <a:accent5>
        <a:srgbClr val="D1D160"/>
      </a:accent5>
      <a:accent6>
        <a:srgbClr val="858444"/>
      </a:accent6>
      <a:hlink>
        <a:srgbClr val="006EAD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EB71-E791-4F5B-BF10-F8D000A579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5142db-3030-4353-8fb6-27f2a2f496be}" enabled="1" method="Privileged" siteId="{b841edbb-4850-4732-b80f-a85c778f2b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HII_MEMO_template_2023</Template>
  <TotalTime>2</TotalTime>
  <Pages>1</Pages>
  <Words>265</Words>
  <Characters>1577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News Shipbuilding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Jennifer (HII-Mission Technologies)</dc:creator>
  <cp:keywords/>
  <dc:description/>
  <cp:lastModifiedBy>Thompson, Jennifer J</cp:lastModifiedBy>
  <cp:revision>4</cp:revision>
  <dcterms:created xsi:type="dcterms:W3CDTF">2024-10-22T17:12:00Z</dcterms:created>
  <dcterms:modified xsi:type="dcterms:W3CDTF">2024-10-22T19:57:00Z</dcterms:modified>
</cp:coreProperties>
</file>